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Style w:val="Pladsholder"/>
        </w:rPr>
        <w:t xml:space="preserve">[Virksomhedens navn]</w:t>
      </w:r>
    </w:p>
    <w:p>
      <w:pPr>
        <w:pStyle w:val="Subtitle"/>
      </w:pPr>
      <w:r>
        <w:t xml:space="preserve">Guide til brug af</w:t>
      </w:r>
      <w:r>
        <w:t xml:space="preserve"> </w:t>
      </w:r>
      <w:r>
        <w:rPr>
          <w:rStyle w:val="Pladsholder"/>
        </w:rPr>
        <w:t xml:space="preserve">[Virksomhedens navn]</w:t>
      </w:r>
      <w:r>
        <w:t xml:space="preserve">s whistleblowerordning for medarbejdere</w:t>
      </w:r>
    </w:p>
    <w:p>
      <w:pPr>
        <w:pStyle w:val="BlockText"/>
      </w:pPr>
      <w:r>
        <w:rPr>
          <w:b/>
          <w:bCs/>
        </w:rPr>
        <w:t xml:space="preserve">Sådan bruger du skabelonen.</w:t>
      </w:r>
      <w:r>
        <w:t xml:space="preserve"> </w:t>
      </w:r>
      <w:r>
        <w:t xml:space="preserve">Udfyld eller slet teksten i</w:t>
      </w:r>
      <w:r>
        <w:t xml:space="preserve"> </w:t>
      </w:r>
      <w:r>
        <w:rPr>
          <w:rStyle w:val="Pladsholder"/>
        </w:rPr>
        <w:t xml:space="preserve">[skarpe parenteser]</w:t>
      </w:r>
      <w:r>
        <w:t xml:space="preserve">, indsæt jeres QR-kode og link, og slet denne boks. Hæng siden op, hvor medarbejderne ser den, og læg den på intranettet eller hjemmesiden. Vejledningen står på whistlesafe.dk/skabelon-whistleblowerpolitik.</w:t>
      </w:r>
    </w:p>
    <w:p>
      <w:pPr>
        <w:pStyle w:val="FirstParagraph"/>
      </w:pPr>
      <w:r>
        <w:t xml:space="preserve">Medarbejdere i</w:t>
      </w:r>
      <w:r>
        <w:t xml:space="preserve"> </w:t>
      </w:r>
      <w:r>
        <w:rPr>
          <w:rStyle w:val="Pladsholder"/>
        </w:rPr>
        <w:t xml:space="preserve">[Virksomhedens navn]</w:t>
      </w:r>
      <w:r>
        <w:t xml:space="preserve"> </w:t>
      </w:r>
      <w:r>
        <w:t xml:space="preserve">har mulighed for</w:t>
      </w:r>
      <w:r>
        <w:t xml:space="preserve"> </w:t>
      </w:r>
      <w:r>
        <w:rPr>
          <w:rStyle w:val="Pladsholder"/>
        </w:rPr>
        <w:t xml:space="preserve">[anonymt]</w:t>
      </w:r>
      <w:r>
        <w:t xml:space="preserve"> </w:t>
      </w:r>
      <w:r>
        <w:t xml:space="preserve">at indberette forhold, som er ulovlige, eller som reducerer deres tryghed.</w:t>
      </w:r>
    </w:p>
    <w:p>
      <w:pPr>
        <w:pStyle w:val="BodyText"/>
      </w:pPr>
      <w:r>
        <w:rPr>
          <w:rStyle w:val="Pladsholder"/>
        </w:rPr>
        <w:t xml:space="preserve">[QR-kode til jeres whistleblowerordning]</w:t>
      </w:r>
    </w:p>
    <w:p>
      <w:pPr>
        <w:pStyle w:val="BodyText"/>
      </w:pPr>
      <w:r>
        <w:t xml:space="preserve">Skan QR-koden for at åbne</w:t>
      </w:r>
      <w:r>
        <w:t xml:space="preserve"> </w:t>
      </w:r>
      <w:r>
        <w:rPr>
          <w:rStyle w:val="Pladsholder"/>
        </w:rPr>
        <w:t xml:space="preserve">[navnet på jeres løsning]</w:t>
      </w:r>
      <w:r>
        <w:t xml:space="preserve">.</w:t>
      </w:r>
    </w:p>
    <w:p>
      <w:pPr>
        <w:pStyle w:val="BodyText"/>
      </w:pPr>
      <w:r>
        <w:rPr>
          <w:rStyle w:val="Pladsholder"/>
          <w:b/>
          <w:bCs/>
        </w:rPr>
        <w:t xml:space="preserve">[Link til jeres whistleblowerordning]</w:t>
      </w:r>
    </w:p>
    <w:p>
      <w:pPr>
        <w:pStyle w:val="BodyText"/>
      </w:pPr>
      <w:r>
        <w:t xml:space="preserve">Whistleblowerordningen bør anvendes, hvis medarbejderen observerer alvorlige overtrædelser, krænkelser eller andre lovbrud i forbindelse med deres arbejde eller aktiviteter i</w:t>
      </w:r>
      <w:r>
        <w:t xml:space="preserve"> </w:t>
      </w:r>
      <w:r>
        <w:rPr>
          <w:rStyle w:val="Pladsholder"/>
        </w:rPr>
        <w:t xml:space="preserve">[Virksomhedens navn]</w:t>
      </w:r>
      <w:r>
        <w:t xml:space="preserve">.</w:t>
      </w:r>
    </w:p>
    <w:p>
      <w:pPr>
        <w:pStyle w:val="BodyText"/>
      </w:pPr>
      <w:r>
        <w:t xml:space="preserve">Eksempler på områder, der kan rapporteres gennem whistleblowerordningen, omfatter, men er ikke begrænset til: sexisme, seksuelle krænkelser (herunder ulovlig billeddeling), fysisk vold, diskrimination, økonomisk kriminalitet, arbejdssikkerhed, forbrugerbeskyttelse, produktsikkerhed, overtrædelse af udbudsregler, brud på persondataregler, overtrædelse af miljølovgivning, hvidvask og bestikkelse.</w:t>
      </w:r>
    </w:p>
    <w:p>
      <w:pPr>
        <w:pStyle w:val="BodyText"/>
      </w:pPr>
      <w:r>
        <w:rPr>
          <w:rStyle w:val="Pladsholder"/>
        </w:rPr>
        <w:t xml:space="preserve">[Hvis I bruger WhistleSafe: Vores whistleblowerordning er bygget op omkring dataetik, privatliv og anonymitet — der kræves hverken navn, e-mail eller konto for at indberette.]</w:t>
      </w:r>
    </w:p>
    <w:bookmarkStart w:id="9" w:name="hvem-læser-din-indberetning"/>
    <w:p>
      <w:pPr>
        <w:pStyle w:val="Heading1"/>
      </w:pPr>
      <w:r>
        <w:t xml:space="preserve">Hvem læser din indberetning?</w:t>
      </w:r>
    </w:p>
    <w:p>
      <w:pPr>
        <w:pStyle w:val="FirstParagraph"/>
      </w:pPr>
      <w:r>
        <w:t xml:space="preserve">Indberetningerne modtages af</w:t>
      </w:r>
      <w:r>
        <w:t xml:space="preserve"> </w:t>
      </w:r>
      <w:r>
        <w:rPr>
          <w:rStyle w:val="Pladsholder"/>
        </w:rPr>
        <w:t xml:space="preserve">[navn, funktion eller afdeling]</w:t>
      </w:r>
      <w:r>
        <w:t xml:space="preserve">, som har tavshedspligt.</w:t>
      </w:r>
      <w:r>
        <w:t xml:space="preserve"> </w:t>
      </w:r>
      <w:r>
        <w:rPr>
          <w:rStyle w:val="Pladsholder"/>
        </w:rPr>
        <w:t xml:space="preserve">[Du kan indberette anonymt. / Du skal oplyse dit navn.]</w:t>
      </w:r>
      <w:r>
        <w:t xml:space="preserve"> </w:t>
      </w:r>
      <w:r>
        <w:t xml:space="preserve">Du får en bekræftelse inden for 7 dage og feedback senest 3 måneder efter bekræftelsen.</w:t>
      </w:r>
    </w:p>
    <w:bookmarkEnd w:id="9"/>
    <w:bookmarkStart w:id="11" w:name="du-kan-også-indberette-eksternt"/>
    <w:p>
      <w:pPr>
        <w:pStyle w:val="Heading1"/>
      </w:pPr>
      <w:r>
        <w:t xml:space="preserve">Du kan også indberette eksternt</w:t>
      </w:r>
    </w:p>
    <w:p>
      <w:pPr>
        <w:pStyle w:val="FirstParagraph"/>
      </w:pPr>
      <w:r>
        <w:t xml:space="preserve">Du kan i stedet indberette til Datatilsynets eksterne whistleblowerordning på</w:t>
      </w:r>
      <w:r>
        <w:t xml:space="preserve"> </w:t>
      </w:r>
      <w:hyperlink r:id="rId10">
        <w:r>
          <w:rPr>
            <w:rStyle w:val="Hyperlink"/>
          </w:rPr>
          <w:t xml:space="preserve">whistleblower.dk</w:t>
        </w:r>
      </w:hyperlink>
      <w:r>
        <w:t xml:space="preserve">. Du vælger selv. Vi opfordrer dig til at indberette til os, når forholdet kan løses effektivt her, og du vurderer, at der ikke er risiko for repressalier.</w:t>
      </w:r>
    </w:p>
    <w:p>
      <w:pPr>
        <w:pStyle w:val="BodyText"/>
      </w:pPr>
      <w:r>
        <w:t xml:space="preserve">Læs hele whistleblowerpolitikken på</w:t>
      </w:r>
      <w:r>
        <w:t xml:space="preserve"> </w:t>
      </w:r>
      <w:r>
        <w:rPr>
          <w:rStyle w:val="Pladsholder"/>
        </w:rPr>
        <w:t xml:space="preserve">[link til politikken]</w:t>
      </w:r>
      <w:r>
        <w:t xml:space="preserve">. Har du spørgsmål, så kontakt</w:t>
      </w:r>
      <w:r>
        <w:t xml:space="preserve"> </w:t>
      </w:r>
      <w:r>
        <w:rPr>
          <w:rStyle w:val="Pladsholder"/>
        </w:rPr>
        <w:t xml:space="preserve">[navn og e-mail]</w:t>
      </w:r>
      <w:r>
        <w:t xml:space="preserve">.</w:t>
      </w:r>
    </w:p>
    <w:bookmarkEnd w:id="11"/>
    <w:sectPr>
      <w:footerReference r:id="rIdFooter" w:type="default"/>
      <w:footnotePr>
        <w:numRestart w:val="eachSect"/>
      </w:footnotePr>
      <w:pgSz w:h="16838" w:w="11906"/>
      <w:pgMar w:bottom="1418" w:footer="567" w:gutter="0" w:header="709" w:left="1418" w:right="1418" w:top="1418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Skabelon fra WhistleSafe — </w:t>
    </w:r>
    <w:hyperlink r:id="rIdWhistleSafe" w:history="1">
      <w:r>
        <w:t>whistlesafe.dk</w:t>
      </w:r>
    </w:hyperlink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2"/>
        <w:szCs w:val="22"/>
        <w:lang w:bidi="ar-SA" w:eastAsia="da-DK" w:val="da-DK"/>
      </w:rPr>
    </w:rPrDefault>
    <w:pPrDefault>
      <w:pPr>
        <w:spacing w:after="12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line="276" w:lineRule="auto"/>
    </w:pPr>
    <w:rPr>
      <w:rFonts w:ascii="Arial" w:cs="Arial" w:eastAsia="Arial" w:hAnsi="Arial"/>
      <w:color w:val="1F2933"/>
      <w:sz w:val="22"/>
      <w:szCs w:val="22"/>
    </w:rPr>
  </w:style>
  <w:style w:styleId="BodyText" w:type="paragraph">
    <w:name w:val="Body Text"/>
    <w:basedOn w:val="Normal"/>
    <w:qFormat/>
    <w:pPr>
      <w:spacing w:after="140" w:before="60"/>
    </w:pPr>
    <w:rPr/>
  </w:style>
  <w:style w:customStyle="1" w:styleId="FirstParagraph" w:type="paragraph">
    <w:name w:val="First Paragraph"/>
    <w:basedOn w:val="BodyText"/>
    <w:next w:val="BodyText"/>
    <w:qFormat/>
    <w:pPr/>
    <w:rPr/>
  </w:style>
  <w:style w:customStyle="1" w:styleId="Compact" w:type="paragraph">
    <w:name w:val="Compact"/>
    <w:basedOn w:val="BodyText"/>
    <w:qFormat/>
    <w:pPr>
      <w:keepNext/>
      <w:spacing w:after="60" w:before="0"/>
    </w:pPr>
    <w:rPr/>
  </w:style>
  <w:style w:styleId="Title" w:type="paragraph">
    <w:name w:val="Title"/>
    <w:basedOn w:val="Normal"/>
    <w:next w:val="BodyText"/>
    <w:qFormat/>
    <w:pPr>
      <w:keepNext/>
      <w:spacing w:after="120" w:before="0" w:line="240" w:lineRule="auto"/>
    </w:pPr>
    <w:rPr>
      <w:rFonts w:ascii="Arial" w:cs="Arial" w:eastAsia="Arial" w:hAnsi="Arial"/>
      <w:b/>
      <w:bCs/>
      <w:color w:val="1F2933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keepNext/>
      <w:spacing w:after="240" w:before="0"/>
    </w:pPr>
    <w:rPr>
      <w:rFonts w:ascii="Arial" w:cs="Arial" w:eastAsia="Arial" w:hAnsi="Arial"/>
      <w:color w:val="5B6472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qFormat/>
    <w:pPr>
      <w:keepNext/>
      <w:keepLines/>
      <w:spacing w:after="120" w:before="360"/>
      <w:outlineLvl w:val="0"/>
    </w:pPr>
    <w:rPr>
      <w:rFonts w:ascii="Arial" w:cs="Arial" w:eastAsia="Arial" w:hAnsi="Arial"/>
      <w:b/>
      <w:bCs/>
      <w:color w:val="1F2933"/>
      <w:sz w:val="30"/>
      <w:szCs w:val="30"/>
    </w:rPr>
  </w:style>
  <w:style w:styleId="Heading2" w:type="paragraph">
    <w:name w:val="heading 2"/>
    <w:basedOn w:val="Normal"/>
    <w:next w:val="BodyText"/>
    <w:qFormat/>
    <w:pPr>
      <w:keepNext/>
      <w:keepLines/>
      <w:spacing w:after="100" w:before="280"/>
      <w:outlineLvl w:val="1"/>
    </w:pPr>
    <w:rPr>
      <w:rFonts w:ascii="Arial" w:cs="Arial" w:eastAsia="Arial" w:hAnsi="Arial"/>
      <w:b/>
      <w:bCs/>
      <w:color w:val="1F2933"/>
      <w:sz w:val="25"/>
      <w:szCs w:val="25"/>
    </w:rPr>
  </w:style>
  <w:style w:styleId="Heading3" w:type="paragraph">
    <w:name w:val="heading 3"/>
    <w:basedOn w:val="Normal"/>
    <w:next w:val="BodyText"/>
    <w:qFormat/>
    <w:pPr>
      <w:keepNext/>
      <w:keepLines/>
      <w:spacing w:after="80" w:before="240"/>
      <w:outlineLvl w:val="2"/>
    </w:pPr>
    <w:rPr>
      <w:rFonts w:ascii="Arial" w:cs="Arial" w:eastAsia="Arial" w:hAnsi="Arial"/>
      <w:b/>
      <w:bCs/>
      <w:color w:val="1F2933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qFormat/>
    <w:pPr>
      <w:pBdr>
        <w:left w:color="9AA3AE" w:space="8" w:sz="18" w:val="single"/>
      </w:pBdr>
      <w:shd w:color="auto" w:fill="F2F4F7" w:val="clear"/>
      <w:spacing w:after="240" w:before="280"/>
      <w:ind w:left="170" w:right="113"/>
    </w:pPr>
    <w:rPr>
      <w:sz w:val="20"/>
      <w:szCs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1D4ED8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Pladsholder" w:type="character">
    <w:name w:val="Pladsholder"/>
    <w:qFormat/>
    <w:rPr>
      <w:shd w:color="auto" w:fill="FFF1B8" w:val="clear"/>
    </w:rPr>
  </w:style>
  <w:style w:styleId="Footer" w:type="paragraph">
    <w:name w:val="footer"/>
    <w:basedOn w:val="Normal"/>
    <w:pPr>
      <w:tabs>
        <w:tab w:pos="9070" w:val="right"/>
      </w:tabs>
      <w:spacing w:after="0"/>
    </w:pPr>
    <w:rPr>
      <w:color w:val="5B6472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Footer" Target="footer1.xml" Type="http://schemas.openxmlformats.org/officeDocument/2006/relationships/footer" /><Relationship Type="http://schemas.openxmlformats.org/officeDocument/2006/relationships/hyperlink" Id="rId10" Target="https://whistleblower.dk/" TargetMode="External" /></Relationships>
</file>

<file path=word/_rels/footer1.xml.rels><?xml version="1.0" encoding="UTF-8" standalone="yes"?><Relationships xmlns="http://schemas.openxmlformats.org/package/2006/relationships"><Relationship Id="rIdWhistleSafe" Type="http://schemas.openxmlformats.org/officeDocument/2006/relationships/hyperlink" Target="https://whistlesafe.d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histleblower.d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Medarbejderinformation om whistleblowerordningen</dc:title>
  <dc:creator/>
  <dc:language>da-DK</dc:language>
  <dc:subject>Skabelon fra WhistleSafe — whistlesafe.dk</dc:subject>
  <cp:keywords/>
  <dcterms:created xsi:type="dcterms:W3CDTF">2026-10-04T00:00:00Z</dcterms:created>
  <dcterms:modified xsi:type="dcterms:W3CDTF">2026-10-04T00:00:00Z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Guide til brug af [Virksomhedens navn]s whistleblowerordning for medarbejdere</vt:lpwstr>
  </property>
</Properties>
</file>